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6E1004B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5B5AA6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910118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5B5AA6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1310BF7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5B5AA6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5B5AA6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58783A0" w14:textId="77777777" w:rsidR="005F5419" w:rsidRPr="005B5AA6" w:rsidRDefault="005F5419" w:rsidP="005B5AA6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7AD169FD" w14:textId="048EC3BA" w:rsidR="005F5419" w:rsidRPr="005B5AA6" w:rsidRDefault="005F5419" w:rsidP="005B5AA6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="005B5AA6" w:rsidRPr="005B5AA6">
        <w:rPr>
          <w:rFonts w:cstheme="minorHAnsi"/>
          <w:color w:val="002060"/>
          <w:szCs w:val="18"/>
          <w:lang w:eastAsia="pl-PL"/>
        </w:rPr>
        <w:br/>
      </w:r>
      <w:r w:rsidRPr="005B5AA6">
        <w:rPr>
          <w:rFonts w:cstheme="minorHAnsi"/>
          <w:color w:val="002060"/>
          <w:szCs w:val="18"/>
          <w:lang w:eastAsia="pl-PL"/>
        </w:rPr>
        <w:t>w lit. a) niniejszego punktu; lub</w:t>
      </w:r>
    </w:p>
    <w:p w14:paraId="4EDBF915" w14:textId="1E4C1399" w:rsidR="005F5419" w:rsidRPr="005B5AA6" w:rsidRDefault="005F5419" w:rsidP="005B5AA6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 xml:space="preserve">Osób fizycznych lub prawnych, podmiotów lub organów działających w imieniu lub pod kierunkiem osoby fizycznej lub prawnej, podmiotu lub organu, o których mowa w lit. a) lub b) niniejszego punktu, </w:t>
      </w:r>
    </w:p>
    <w:p w14:paraId="67EF834D" w14:textId="77777777" w:rsidR="005F5419" w:rsidRPr="0070462E" w:rsidRDefault="005F5419" w:rsidP="005F5419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262F27D5" w14:textId="205A5BFC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6A3F715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BF74B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668478B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83E18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47497F06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727B78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727B78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5681DAB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67489380" w14:textId="48212164" w:rsidR="000A506D" w:rsidRDefault="000A506D" w:rsidP="005F5419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24E8C900" w14:textId="1173D58D" w:rsidR="005C5DFD" w:rsidRPr="005F5419" w:rsidRDefault="005C5DFD" w:rsidP="005F5419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192E0664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Dopuszcza się zmianę osób wskazanych powyżej. W przypadku zmiany osoby wymienionych </w:t>
      </w:r>
      <w:r w:rsidR="00DB3769">
        <w:rPr>
          <w:rFonts w:eastAsia="Times New Roman" w:cs="Calibri"/>
          <w:bCs/>
          <w:snapToGrid w:val="0"/>
          <w:szCs w:val="18"/>
          <w:lang w:eastAsia="pl-PL"/>
        </w:rPr>
        <w:br/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w Wykazie bądź konieczności zastępstwa takiej osoby, Wykonawca poinformuje o tym fakcie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lastRenderedPageBreak/>
        <w:t>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37522A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2F3D16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3257E821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2F3D16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1710FC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2F3D1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E8D98DB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DB3769">
        <w:rPr>
          <w:rFonts w:cstheme="minorHAnsi"/>
          <w:bCs/>
          <w:color w:val="002060"/>
          <w:szCs w:val="18"/>
          <w:u w:val="single"/>
        </w:rPr>
        <w:t>Oświadczenie</w:t>
      </w:r>
      <w:r w:rsidR="00DB3769" w:rsidRPr="00DB3769">
        <w:rPr>
          <w:rFonts w:cstheme="minorHAnsi"/>
          <w:bCs/>
          <w:color w:val="002060"/>
          <w:szCs w:val="18"/>
          <w:u w:val="single"/>
        </w:rPr>
        <w:t xml:space="preserve"> o doświadczeniu zawodowym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DB3769">
        <w:rPr>
          <w:rFonts w:cstheme="minorHAnsi"/>
          <w:color w:val="002060"/>
          <w:szCs w:val="18"/>
          <w:u w:val="single"/>
        </w:rPr>
        <w:lastRenderedPageBreak/>
        <w:t>Oświadczenie</w:t>
      </w:r>
      <w:r w:rsidRPr="00DB3769">
        <w:rPr>
          <w:rFonts w:cstheme="minorHAnsi"/>
          <w:szCs w:val="18"/>
        </w:rPr>
        <w:t xml:space="preserve">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0F924C3C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C524D">
        <w:rPr>
          <w:rFonts w:eastAsia="Calibri" w:cstheme="minorHAnsi"/>
          <w:iCs/>
          <w:color w:val="002060"/>
          <w:szCs w:val="18"/>
          <w:u w:val="single"/>
        </w:rPr>
        <w:t xml:space="preserve">Odpis lub informację z Krajowego Rejestru Sądowego lub z Centralnej Ewidencji i Informacji </w:t>
      </w:r>
      <w:r w:rsidR="002F3D16" w:rsidRPr="00FC524D">
        <w:rPr>
          <w:rFonts w:eastAsia="Calibri" w:cstheme="minorHAnsi"/>
          <w:iCs/>
          <w:color w:val="002060"/>
          <w:szCs w:val="18"/>
          <w:u w:val="single"/>
        </w:rPr>
        <w:br/>
      </w:r>
      <w:r w:rsidRPr="00FC524D">
        <w:rPr>
          <w:rFonts w:eastAsia="Calibri" w:cstheme="minorHAnsi"/>
          <w:iCs/>
          <w:color w:val="002060"/>
          <w:szCs w:val="18"/>
          <w:u w:val="single"/>
        </w:rPr>
        <w:t>o Działalności Gospodarczej</w:t>
      </w:r>
      <w:r w:rsidRPr="0070462E">
        <w:rPr>
          <w:rFonts w:eastAsia="Calibri" w:cstheme="minorHAnsi"/>
          <w:iCs/>
          <w:szCs w:val="18"/>
        </w:rPr>
        <w:t xml:space="preserve">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A8353CA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Uwaga: Wykonawca nie jest zobowiązany do przedkładania ww. dokumentów, jeżeli dokumenty są dostępne pod określonymi adresami internetowymi ogólnodostępnych i bezpłatnych baz danych. </w:t>
      </w:r>
      <w:r w:rsidR="002F3D1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W takim przypadku Zamawiający pobierze te dokumenty z tych baz danych, o ile posiada do nich dostęp.</w:t>
      </w:r>
    </w:p>
    <w:p w14:paraId="2894C500" w14:textId="044D29D8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2F3D1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2F3D1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  <w:r w:rsidR="002F3D16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2F3D16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C524D">
        <w:rPr>
          <w:rFonts w:eastAsia="Calibri" w:cstheme="minorHAnsi"/>
          <w:color w:val="002060"/>
          <w:szCs w:val="18"/>
          <w:u w:val="single"/>
        </w:rPr>
        <w:t>Dokument potwierdzający, że Wykonawca jest ubezpieczony od odpowiedzialności cywilnej</w:t>
      </w:r>
      <w:r>
        <w:rPr>
          <w:rFonts w:eastAsia="Calibri" w:cstheme="minorHAnsi"/>
          <w:szCs w:val="18"/>
        </w:rPr>
        <w:t>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1E41DEB2" w14:textId="1F4AF3E0" w:rsidR="002F2E3A" w:rsidRPr="002F2E3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2F3D16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</w:p>
    <w:p w14:paraId="60090ADC" w14:textId="7553C391" w:rsidR="002F2E3A" w:rsidRPr="002F2E3A" w:rsidRDefault="002F2E3A" w:rsidP="002F2E3A">
      <w:pPr>
        <w:pStyle w:val="Akapitzlist"/>
        <w:numPr>
          <w:ilvl w:val="2"/>
          <w:numId w:val="21"/>
        </w:numPr>
        <w:ind w:left="993"/>
        <w:rPr>
          <w:rFonts w:eastAsia="Times New Roman" w:cstheme="minorHAnsi"/>
          <w:szCs w:val="18"/>
        </w:rPr>
      </w:pPr>
      <w:r w:rsidRPr="002F2E3A">
        <w:rPr>
          <w:rFonts w:eastAsia="Times New Roman" w:cstheme="minorHAnsi"/>
          <w:b/>
          <w:bCs/>
          <w:szCs w:val="18"/>
        </w:rPr>
        <w:t>Podpisany Formularz cenowy/Arkusz kalkulacyjny wg Załącznika nr 3.1 do SWZ</w:t>
      </w:r>
      <w:r w:rsidRPr="002F2E3A">
        <w:rPr>
          <w:rFonts w:eastAsia="Times New Roman" w:cstheme="minorHAnsi"/>
          <w:szCs w:val="18"/>
        </w:rPr>
        <w:t>.</w:t>
      </w:r>
    </w:p>
    <w:p w14:paraId="5B5E0D4D" w14:textId="68B5B732" w:rsidR="0070462E" w:rsidRPr="0070462E" w:rsidRDefault="0070462E" w:rsidP="002F2E3A">
      <w:pPr>
        <w:pStyle w:val="Tekstpodstawowy"/>
        <w:spacing w:line="24" w:lineRule="atLeast"/>
        <w:ind w:left="426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</w:t>
      </w:r>
      <w:r w:rsidRPr="0070462E">
        <w:rPr>
          <w:rFonts w:cstheme="minorHAnsi"/>
          <w:szCs w:val="18"/>
        </w:rPr>
        <w:lastRenderedPageBreak/>
        <w:t>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003F681A" w14:textId="4C6F34E6" w:rsidR="00DF4C03" w:rsidRPr="00DF4C03" w:rsidRDefault="00DF4C0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r w:rsidRPr="002F3D16">
        <w:rPr>
          <w:rFonts w:cstheme="minorHAnsi"/>
          <w:color w:val="002060"/>
          <w:szCs w:val="18"/>
          <w:u w:val="single"/>
        </w:rPr>
        <w:t>Potwierdzenie wniesienia wadium do Oferty powyżej</w:t>
      </w:r>
      <w:r>
        <w:rPr>
          <w:rFonts w:cstheme="minorHAnsi"/>
          <w:szCs w:val="18"/>
          <w:u w:val="single"/>
        </w:rPr>
        <w:t>.</w:t>
      </w:r>
    </w:p>
    <w:p w14:paraId="2483493A" w14:textId="22E896D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FC524D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4FEEED2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FC524D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1C0BC19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FC524D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7F4A6203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8C87A7D" w:rsidR="00347E8D" w:rsidRPr="006B2C28" w:rsidRDefault="002F2E3A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E3A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5B5AA6">
            <w:rPr>
              <w:rFonts w:asciiTheme="majorHAnsi" w:hAnsiTheme="majorHAnsi"/>
              <w:color w:val="000000" w:themeColor="text1"/>
              <w:sz w:val="14"/>
              <w:szCs w:val="18"/>
            </w:rPr>
            <w:t>244</w:t>
          </w:r>
          <w:r w:rsidRPr="002F2E3A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13E6B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BD2"/>
    <w:multiLevelType w:val="multilevel"/>
    <w:tmpl w:val="C03C73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1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30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2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8"/>
  </w:num>
  <w:num w:numId="26" w16cid:durableId="1711806734">
    <w:abstractNumId w:val="2"/>
  </w:num>
  <w:num w:numId="27" w16cid:durableId="1265963154">
    <w:abstractNumId w:val="27"/>
  </w:num>
  <w:num w:numId="28" w16cid:durableId="1660425132">
    <w:abstractNumId w:val="25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9"/>
  </w:num>
  <w:num w:numId="34" w16cid:durableId="1448433073">
    <w:abstractNumId w:val="9"/>
  </w:num>
  <w:num w:numId="35" w16cid:durableId="93875275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83E18"/>
    <w:rsid w:val="00296A65"/>
    <w:rsid w:val="002A3129"/>
    <w:rsid w:val="002A48F7"/>
    <w:rsid w:val="002B5C62"/>
    <w:rsid w:val="002C470F"/>
    <w:rsid w:val="002D4CAD"/>
    <w:rsid w:val="002F10CA"/>
    <w:rsid w:val="002F2E3A"/>
    <w:rsid w:val="002F3D16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5AA6"/>
    <w:rsid w:val="005B6DC6"/>
    <w:rsid w:val="005C5DFD"/>
    <w:rsid w:val="005C6812"/>
    <w:rsid w:val="005D118B"/>
    <w:rsid w:val="005D2D85"/>
    <w:rsid w:val="005D74EB"/>
    <w:rsid w:val="005E4AA3"/>
    <w:rsid w:val="005E79E5"/>
    <w:rsid w:val="005F5419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B78"/>
    <w:rsid w:val="00727EC1"/>
    <w:rsid w:val="0073187A"/>
    <w:rsid w:val="007343BE"/>
    <w:rsid w:val="007343C5"/>
    <w:rsid w:val="00742321"/>
    <w:rsid w:val="00742807"/>
    <w:rsid w:val="0076011B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7F6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52EC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8E0"/>
    <w:rsid w:val="00A02C84"/>
    <w:rsid w:val="00A148D6"/>
    <w:rsid w:val="00A36C09"/>
    <w:rsid w:val="00A370AB"/>
    <w:rsid w:val="00A3753A"/>
    <w:rsid w:val="00A43299"/>
    <w:rsid w:val="00A467CA"/>
    <w:rsid w:val="00A57E04"/>
    <w:rsid w:val="00A6049B"/>
    <w:rsid w:val="00A62B4C"/>
    <w:rsid w:val="00A70F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BF74B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2351"/>
    <w:rsid w:val="00D516C1"/>
    <w:rsid w:val="00D6344F"/>
    <w:rsid w:val="00D73369"/>
    <w:rsid w:val="00D80E4A"/>
    <w:rsid w:val="00D9793B"/>
    <w:rsid w:val="00DA64DB"/>
    <w:rsid w:val="00DA73EF"/>
    <w:rsid w:val="00DB1E5E"/>
    <w:rsid w:val="00DB3769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DF4C03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87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524D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NOWE.docx</dmsv2BaseFileName>
    <dmsv2BaseDisplayName xmlns="http://schemas.microsoft.com/sharepoint/v3">Załącznik nr 2 do SWZ - Warunki udziału w postepowaniu - PT RBM - NOWE</dmsv2BaseDisplayName>
    <dmsv2SWPP2ObjectNumber xmlns="http://schemas.microsoft.com/sharepoint/v3">POST/DYS/OLD/GZ/04244/2025                        </dmsv2SWPP2ObjectNumber>
    <dmsv2SWPP2SumMD5 xmlns="http://schemas.microsoft.com/sharepoint/v3">cd91d5ee1845b190c9497f982847b9bb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23852274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DPFVW34YURAE-834641568-8459</_dlc_DocId>
    <_dlc_DocIdUrl xmlns="a19cb1c7-c5c7-46d4-85ae-d83685407bba">
      <Url>https://swpp2.dms.gkpge.pl/sites/40/_layouts/15/DocIdRedir.aspx?ID=DPFVW34YURAE-834641568-8459</Url>
      <Description>DPFVW34YURAE-834641568-8459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764B3621-9217-4B69-9962-547140CD850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82A899-9443-4D28-B24F-046C87B5C31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6</Pages>
  <Words>3700</Words>
  <Characters>22205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9</cp:revision>
  <cp:lastPrinted>2024-07-15T11:21:00Z</cp:lastPrinted>
  <dcterms:created xsi:type="dcterms:W3CDTF">2025-10-13T11:10:00Z</dcterms:created>
  <dcterms:modified xsi:type="dcterms:W3CDTF">2025-11-25T12:06:00Z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1d689839-681f-4fa2-81b6-e91f05e33e89</vt:lpwstr>
  </property>
</Properties>
</file>